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6994"/>
      </w:tblGrid>
      <w:tr w:rsidR="00630C43" w14:paraId="0D4E4297" w14:textId="77777777" w:rsidTr="00630C43">
        <w:trPr>
          <w:trHeight w:val="227"/>
        </w:trPr>
        <w:tc>
          <w:tcPr>
            <w:tcW w:w="8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C6DF" w14:textId="77777777" w:rsidR="00630C43" w:rsidRDefault="00E0580D" w:rsidP="00630C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E1DAD17" wp14:editId="4386221F">
                  <wp:extent cx="2257425" cy="904875"/>
                  <wp:effectExtent l="0" t="0" r="9525" b="9525"/>
                  <wp:docPr id="1" name="Picture 1" descr="C:\Users\rkeane\AppData\Local\Microsoft\Windows\INetCache\Content.Outlook\8TH4AWFP\CRF-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keane\AppData\Local\Microsoft\Windows\INetCache\Content.Outlook\8TH4AWFP\CRF-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452" w14:paraId="3FD0F3B8" w14:textId="77777777" w:rsidTr="00F42381">
        <w:trPr>
          <w:trHeight w:val="3718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BC9" w14:textId="77777777" w:rsidR="00D35452" w:rsidRDefault="00D35452">
            <w:pPr>
              <w:spacing w:before="240"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69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28F3" w14:textId="77777777" w:rsidR="00D35452" w:rsidRDefault="00D35452" w:rsidP="00D35452">
            <w:pPr>
              <w:rPr>
                <w:b/>
                <w:bCs/>
                <w:sz w:val="28"/>
                <w:szCs w:val="28"/>
              </w:rPr>
            </w:pPr>
          </w:p>
          <w:p w14:paraId="74FCBE54" w14:textId="39EE8BE6" w:rsidR="00D35452" w:rsidRPr="00F42381" w:rsidRDefault="00F423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ICH </w:t>
            </w:r>
            <w:r w:rsidR="00D35452">
              <w:rPr>
                <w:b/>
                <w:bCs/>
                <w:i/>
                <w:iCs/>
                <w:sz w:val="32"/>
                <w:szCs w:val="32"/>
              </w:rPr>
              <w:t xml:space="preserve">Good Clinical Practice </w:t>
            </w:r>
            <w:proofErr w:type="gramStart"/>
            <w:r>
              <w:rPr>
                <w:b/>
                <w:bCs/>
                <w:i/>
                <w:iCs/>
                <w:sz w:val="32"/>
                <w:szCs w:val="32"/>
              </w:rPr>
              <w:t>For</w:t>
            </w:r>
            <w:proofErr w:type="gramEnd"/>
            <w:r>
              <w:rPr>
                <w:b/>
                <w:bCs/>
                <w:i/>
                <w:iCs/>
                <w:sz w:val="32"/>
                <w:szCs w:val="32"/>
              </w:rPr>
              <w:t xml:space="preserve"> Investigators and Site staff </w:t>
            </w:r>
            <w:r w:rsidRPr="00F42381">
              <w:rPr>
                <w:b/>
                <w:bCs/>
                <w:i/>
                <w:iCs/>
                <w:color w:val="FF0000"/>
                <w:sz w:val="32"/>
                <w:szCs w:val="32"/>
              </w:rPr>
              <w:t>– Now online</w:t>
            </w:r>
          </w:p>
          <w:p w14:paraId="1F1E845E" w14:textId="77777777" w:rsidR="00F42381" w:rsidRDefault="00D35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course is aimed at </w:t>
            </w:r>
            <w:r w:rsidRPr="00F42381">
              <w:rPr>
                <w:b/>
                <w:sz w:val="24"/>
                <w:szCs w:val="24"/>
              </w:rPr>
              <w:t>Investigators, Research Nurses</w:t>
            </w:r>
            <w:r>
              <w:rPr>
                <w:sz w:val="24"/>
                <w:szCs w:val="24"/>
              </w:rPr>
              <w:t xml:space="preserve"> and other personnel who are planning to con</w:t>
            </w:r>
            <w:r w:rsidR="00F42381">
              <w:rPr>
                <w:sz w:val="24"/>
                <w:szCs w:val="24"/>
              </w:rPr>
              <w:t xml:space="preserve">duct (or actively engaged in </w:t>
            </w:r>
            <w:r>
              <w:rPr>
                <w:sz w:val="24"/>
                <w:szCs w:val="24"/>
              </w:rPr>
              <w:t>clinical</w:t>
            </w:r>
            <w:r w:rsidR="00F42381">
              <w:rPr>
                <w:sz w:val="24"/>
                <w:szCs w:val="24"/>
              </w:rPr>
              <w:t xml:space="preserve"> trials</w:t>
            </w:r>
            <w:r w:rsidR="00941F60">
              <w:rPr>
                <w:sz w:val="24"/>
                <w:szCs w:val="24"/>
              </w:rPr>
              <w:t xml:space="preserve"> </w:t>
            </w:r>
            <w:r w:rsidR="00F42381">
              <w:rPr>
                <w:sz w:val="24"/>
                <w:szCs w:val="24"/>
              </w:rPr>
              <w:t xml:space="preserve">or patient focused research studies. </w:t>
            </w:r>
          </w:p>
          <w:p w14:paraId="70C8DAB2" w14:textId="77777777" w:rsidR="00110425" w:rsidRDefault="00F42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452">
              <w:rPr>
                <w:sz w:val="24"/>
                <w:szCs w:val="24"/>
              </w:rPr>
              <w:t xml:space="preserve">Course contents include: </w:t>
            </w:r>
          </w:p>
          <w:p w14:paraId="647AC29E" w14:textId="77777777" w:rsidR="00F42381" w:rsidRDefault="00F42381" w:rsidP="00A655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principles of ICH-GCP (R2) </w:t>
            </w:r>
          </w:p>
          <w:p w14:paraId="54890D3A" w14:textId="77777777" w:rsidR="00F42381" w:rsidRDefault="00F42381" w:rsidP="008877D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42381">
              <w:rPr>
                <w:sz w:val="24"/>
                <w:szCs w:val="24"/>
              </w:rPr>
              <w:t xml:space="preserve">Investigator Responsibilities </w:t>
            </w:r>
          </w:p>
          <w:p w14:paraId="28CD3E24" w14:textId="1113A6B1" w:rsidR="00D35452" w:rsidRDefault="00F42381" w:rsidP="00F4238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 </w:t>
            </w:r>
            <w:r w:rsidR="006F5DEB" w:rsidRPr="00F42381">
              <w:rPr>
                <w:sz w:val="24"/>
                <w:szCs w:val="24"/>
              </w:rPr>
              <w:t xml:space="preserve">legislation </w:t>
            </w:r>
            <w:r>
              <w:rPr>
                <w:sz w:val="24"/>
                <w:szCs w:val="24"/>
              </w:rPr>
              <w:t xml:space="preserve">governing Clinical Trials </w:t>
            </w:r>
          </w:p>
          <w:p w14:paraId="64D5BD46" w14:textId="77777777" w:rsidR="00941F60" w:rsidRDefault="00941F60" w:rsidP="00F4238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Safety reporting </w:t>
            </w:r>
          </w:p>
          <w:p w14:paraId="76CB0A3B" w14:textId="77777777" w:rsidR="00F42381" w:rsidRDefault="00F42381" w:rsidP="00F42381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6547789" w14:textId="77777777" w:rsidR="00F42381" w:rsidRDefault="00F42381" w:rsidP="00F42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Attendance awarded</w:t>
            </w:r>
            <w:r w:rsidR="000B7AD7">
              <w:rPr>
                <w:sz w:val="24"/>
                <w:szCs w:val="24"/>
              </w:rPr>
              <w:t xml:space="preserve"> – valid for 2 years. </w:t>
            </w:r>
          </w:p>
          <w:p w14:paraId="517AB795" w14:textId="77777777" w:rsidR="000B7AD7" w:rsidRDefault="000B7AD7" w:rsidP="00F42381">
            <w:pPr>
              <w:jc w:val="both"/>
              <w:rPr>
                <w:sz w:val="24"/>
                <w:szCs w:val="24"/>
              </w:rPr>
            </w:pPr>
          </w:p>
          <w:p w14:paraId="6BE1AFC9" w14:textId="77777777" w:rsidR="000B7AD7" w:rsidRDefault="000B7AD7" w:rsidP="000B7AD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n-GB"/>
              </w:rPr>
              <w:t>This</w:t>
            </w:r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ICH E6 GCP</w:t>
            </w:r>
            <w:r w:rsidRPr="00843A54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</w:rPr>
              <w:t xml:space="preserve"> Investigator</w:t>
            </w:r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Site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Training</w:t>
            </w:r>
            <w:r w:rsidRPr="00843A54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</w:rPr>
              <w:t xml:space="preserve"> meets</w:t>
            </w:r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the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Minimum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Criteria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for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ICH GCP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Investigator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Site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Personnel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Training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identified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by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TransCelerate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BioPharma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as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necessary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to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enable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mutual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recognition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of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GCP training </w:t>
            </w:r>
            <w:proofErr w:type="spellStart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>among</w:t>
            </w:r>
            <w:proofErr w:type="spellEnd"/>
            <w:r w:rsidRPr="000B7AD7">
              <w:rPr>
                <w:rFonts w:asciiTheme="minorHAnsi" w:eastAsia="MS PGothic" w:hAnsiTheme="minorHAnsi" w:cstheme="minorHAnsi"/>
                <w:bCs/>
                <w:i/>
                <w:kern w:val="24"/>
                <w:sz w:val="20"/>
                <w:szCs w:val="20"/>
                <w:lang w:val="es-CR"/>
              </w:rPr>
              <w:t xml:space="preserve"> trial sponsors</w:t>
            </w:r>
            <w:r>
              <w:rPr>
                <w:rFonts w:asciiTheme="minorHAnsi" w:eastAsia="MS PGothic" w:hAnsiTheme="minorHAnsi" w:cstheme="minorHAnsi"/>
                <w:bCs/>
                <w:i/>
                <w:kern w:val="24"/>
                <w:sz w:val="22"/>
                <w:szCs w:val="22"/>
                <w:lang w:val="es-CR"/>
              </w:rPr>
              <w:t xml:space="preserve">. </w:t>
            </w:r>
          </w:p>
          <w:p w14:paraId="4C2197FF" w14:textId="77777777" w:rsidR="000B7AD7" w:rsidRPr="00F42381" w:rsidRDefault="000B7AD7" w:rsidP="00F42381">
            <w:pPr>
              <w:jc w:val="both"/>
              <w:rPr>
                <w:sz w:val="24"/>
                <w:szCs w:val="24"/>
              </w:rPr>
            </w:pPr>
          </w:p>
        </w:tc>
      </w:tr>
      <w:tr w:rsidR="00D35452" w14:paraId="01904CAA" w14:textId="77777777" w:rsidTr="00630C43">
        <w:trPr>
          <w:trHeight w:val="227"/>
        </w:trPr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AAC4" w14:textId="77777777" w:rsidR="00D35452" w:rsidRDefault="005B282F">
            <w:pPr>
              <w:spacing w:before="240"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Duration: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01A3" w14:textId="77777777" w:rsidR="00F42381" w:rsidRDefault="00F42381" w:rsidP="00F4238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ICH-GCP (R2)</w:t>
            </w:r>
            <w:r w:rsidR="00843A54">
              <w:rPr>
                <w:sz w:val="24"/>
                <w:szCs w:val="24"/>
              </w:rPr>
              <w:t xml:space="preserve"> </w:t>
            </w:r>
            <w:r w:rsidR="000B7AD7">
              <w:rPr>
                <w:sz w:val="24"/>
                <w:szCs w:val="24"/>
              </w:rPr>
              <w:t>-</w:t>
            </w:r>
            <w:r w:rsidR="005B282F">
              <w:rPr>
                <w:sz w:val="24"/>
                <w:szCs w:val="24"/>
              </w:rPr>
              <w:t>Approx.</w:t>
            </w:r>
            <w:r w:rsidR="00843A54">
              <w:rPr>
                <w:sz w:val="24"/>
                <w:szCs w:val="24"/>
              </w:rPr>
              <w:t xml:space="preserve">  </w:t>
            </w:r>
            <w:r w:rsidR="005B2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hours</w:t>
            </w:r>
          </w:p>
          <w:p w14:paraId="05919B4B" w14:textId="3FF0B9C6" w:rsidR="00F42381" w:rsidRDefault="00F42381" w:rsidP="00F4238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Refresher ICH-GCP</w:t>
            </w:r>
            <w:r w:rsidR="000B7AD7">
              <w:rPr>
                <w:sz w:val="24"/>
                <w:szCs w:val="24"/>
              </w:rPr>
              <w:t xml:space="preserve"> (R2)</w:t>
            </w:r>
            <w:r>
              <w:rPr>
                <w:sz w:val="24"/>
                <w:szCs w:val="24"/>
              </w:rPr>
              <w:t xml:space="preserve"> </w:t>
            </w:r>
            <w:r w:rsidR="00CB6C6C">
              <w:rPr>
                <w:sz w:val="24"/>
                <w:szCs w:val="24"/>
              </w:rPr>
              <w:t>– Approx.</w:t>
            </w:r>
            <w:r>
              <w:rPr>
                <w:sz w:val="24"/>
                <w:szCs w:val="24"/>
              </w:rPr>
              <w:t xml:space="preserve"> 2.5 hours </w:t>
            </w:r>
          </w:p>
          <w:p w14:paraId="3DFF2DE4" w14:textId="361FCF85" w:rsidR="00D35452" w:rsidRPr="00F42381" w:rsidRDefault="00F42381" w:rsidP="00F42381">
            <w:pPr>
              <w:spacing w:before="240"/>
              <w:rPr>
                <w:b/>
                <w:sz w:val="24"/>
                <w:szCs w:val="24"/>
              </w:rPr>
            </w:pPr>
            <w:r w:rsidRPr="00F42381">
              <w:rPr>
                <w:b/>
                <w:sz w:val="24"/>
                <w:szCs w:val="24"/>
              </w:rPr>
              <w:t xml:space="preserve">Fully online - </w:t>
            </w:r>
            <w:r w:rsidR="006F5DEB" w:rsidRPr="00F42381">
              <w:rPr>
                <w:b/>
                <w:sz w:val="24"/>
                <w:szCs w:val="24"/>
              </w:rPr>
              <w:t xml:space="preserve">taken </w:t>
            </w:r>
            <w:r w:rsidR="005B282F" w:rsidRPr="00F42381">
              <w:rPr>
                <w:b/>
                <w:sz w:val="24"/>
                <w:szCs w:val="24"/>
              </w:rPr>
              <w:t xml:space="preserve">at participants own pace </w:t>
            </w:r>
          </w:p>
        </w:tc>
      </w:tr>
      <w:tr w:rsidR="00D35452" w14:paraId="72729569" w14:textId="77777777" w:rsidTr="00630C43">
        <w:trPr>
          <w:trHeight w:val="227"/>
        </w:trPr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B827" w14:textId="77777777" w:rsidR="00D35452" w:rsidRDefault="00D35452">
            <w:pPr>
              <w:spacing w:before="240"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  <w:r>
              <w:rPr>
                <w:b/>
                <w:bCs/>
                <w:color w:val="1F497D"/>
                <w:sz w:val="24"/>
                <w:szCs w:val="24"/>
              </w:rPr>
              <w:t>: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71F6" w14:textId="5CE7727B" w:rsidR="00F42381" w:rsidRDefault="00F42381" w:rsidP="00F42381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Course </w:t>
            </w:r>
            <w:r w:rsidR="00D35452">
              <w:rPr>
                <w:sz w:val="24"/>
                <w:szCs w:val="24"/>
              </w:rPr>
              <w:t>€50.00</w:t>
            </w:r>
            <w:r w:rsidR="00084B2D">
              <w:rPr>
                <w:sz w:val="24"/>
                <w:szCs w:val="24"/>
              </w:rPr>
              <w:t xml:space="preserve"> / Student rate: €25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35452" w14:paraId="23BB41F2" w14:textId="77777777" w:rsidTr="00630C43">
        <w:trPr>
          <w:trHeight w:val="227"/>
        </w:trPr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D7B1" w14:textId="77777777" w:rsidR="00D35452" w:rsidRDefault="005B282F">
            <w:pPr>
              <w:spacing w:before="240"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Presenter</w:t>
            </w:r>
            <w:r w:rsidR="00F42381">
              <w:rPr>
                <w:b/>
                <w:bCs/>
                <w:sz w:val="24"/>
                <w:szCs w:val="24"/>
              </w:rPr>
              <w:t>s</w:t>
            </w:r>
            <w:r w:rsidR="00D35452">
              <w:rPr>
                <w:b/>
                <w:bCs/>
                <w:color w:val="1F497D"/>
                <w:sz w:val="24"/>
                <w:szCs w:val="24"/>
              </w:rPr>
              <w:t>: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6ACE" w14:textId="316077FA" w:rsidR="00D35452" w:rsidRDefault="00D35452" w:rsidP="00F42381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Ruben Keane </w:t>
            </w:r>
            <w:r w:rsidR="00F42381">
              <w:rPr>
                <w:sz w:val="24"/>
                <w:szCs w:val="24"/>
              </w:rPr>
              <w:t xml:space="preserve">and Maire McCarthy, </w:t>
            </w:r>
            <w:r w:rsidR="006F5DEB">
              <w:rPr>
                <w:sz w:val="24"/>
                <w:szCs w:val="24"/>
              </w:rPr>
              <w:t xml:space="preserve">Quality and </w:t>
            </w:r>
            <w:r w:rsidR="005B282F">
              <w:rPr>
                <w:sz w:val="24"/>
                <w:szCs w:val="24"/>
              </w:rPr>
              <w:t>Regulatory Affairs</w:t>
            </w:r>
            <w:r w:rsidR="00F42381">
              <w:rPr>
                <w:sz w:val="24"/>
                <w:szCs w:val="24"/>
              </w:rPr>
              <w:t xml:space="preserve"> Dept, </w:t>
            </w:r>
            <w:r w:rsidR="006F5DEB">
              <w:rPr>
                <w:sz w:val="24"/>
                <w:szCs w:val="24"/>
              </w:rPr>
              <w:t>Clinical Research Facility</w:t>
            </w:r>
            <w:r w:rsidR="005B282F">
              <w:rPr>
                <w:sz w:val="24"/>
                <w:szCs w:val="24"/>
              </w:rPr>
              <w:t>, UCC</w:t>
            </w:r>
            <w:r w:rsidR="00F42381">
              <w:rPr>
                <w:sz w:val="24"/>
                <w:szCs w:val="24"/>
              </w:rPr>
              <w:t xml:space="preserve"> </w:t>
            </w:r>
          </w:p>
        </w:tc>
      </w:tr>
      <w:tr w:rsidR="00D35452" w14:paraId="072DECA7" w14:textId="77777777" w:rsidTr="00630C43">
        <w:trPr>
          <w:trHeight w:val="227"/>
        </w:trPr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A3F9" w14:textId="77777777" w:rsidR="00D35452" w:rsidRDefault="00D35452">
            <w:pPr>
              <w:spacing w:before="240"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Bookings</w:t>
            </w:r>
            <w:r>
              <w:rPr>
                <w:b/>
                <w:bCs/>
                <w:color w:val="1F497D"/>
                <w:sz w:val="24"/>
                <w:szCs w:val="24"/>
              </w:rPr>
              <w:t>: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771A" w14:textId="77777777" w:rsidR="00D35452" w:rsidRDefault="00F42381" w:rsidP="00F42381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E1347A">
              <w:rPr>
                <w:sz w:val="24"/>
                <w:szCs w:val="24"/>
              </w:rPr>
              <w:t>a.quinlan@ucc.ie</w:t>
            </w:r>
          </w:p>
        </w:tc>
      </w:tr>
    </w:tbl>
    <w:p w14:paraId="07DC6BBC" w14:textId="77777777" w:rsidR="00CA44D0" w:rsidRDefault="00CA44D0"/>
    <w:sectPr w:rsidR="00CA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13E3B"/>
    <w:multiLevelType w:val="hybridMultilevel"/>
    <w:tmpl w:val="2A9E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52"/>
    <w:rsid w:val="00084B2D"/>
    <w:rsid w:val="000B7AD7"/>
    <w:rsid w:val="00110425"/>
    <w:rsid w:val="00307995"/>
    <w:rsid w:val="005B282F"/>
    <w:rsid w:val="00630C43"/>
    <w:rsid w:val="006F5DEB"/>
    <w:rsid w:val="00843A54"/>
    <w:rsid w:val="008751D1"/>
    <w:rsid w:val="00941F60"/>
    <w:rsid w:val="00CA44D0"/>
    <w:rsid w:val="00CB6C6C"/>
    <w:rsid w:val="00D35452"/>
    <w:rsid w:val="00D5291C"/>
    <w:rsid w:val="00E0580D"/>
    <w:rsid w:val="00E1347A"/>
    <w:rsid w:val="00F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B59D"/>
  <w15:chartTrackingRefBased/>
  <w15:docId w15:val="{FA2A3B4F-CD60-4E79-A06A-041B18D0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4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5452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B7A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Deane, Lucy</dc:creator>
  <cp:keywords/>
  <dc:description/>
  <cp:lastModifiedBy>Hazel A Smith</cp:lastModifiedBy>
  <cp:revision>2</cp:revision>
  <dcterms:created xsi:type="dcterms:W3CDTF">2021-02-16T14:26:00Z</dcterms:created>
  <dcterms:modified xsi:type="dcterms:W3CDTF">2021-02-16T14:26:00Z</dcterms:modified>
</cp:coreProperties>
</file>